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2517"/>
        <w:gridCol w:w="6947"/>
      </w:tblGrid>
      <w:tr w:rsidR="0021517C" w:rsidRPr="001C2D6B" w:rsidTr="00E177C5">
        <w:trPr>
          <w:trHeight w:val="254"/>
        </w:trPr>
        <w:tc>
          <w:tcPr>
            <w:tcW w:w="251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21517C" w:rsidRPr="001C2D6B" w:rsidRDefault="0021517C" w:rsidP="002F3D84">
            <w:pPr>
              <w:tabs>
                <w:tab w:val="left" w:pos="1418"/>
              </w:tabs>
            </w:pPr>
            <w:r w:rsidRPr="001C2D6B">
              <w:t>DENÚNCIA</w:t>
            </w:r>
            <w:r>
              <w:t xml:space="preserve"> Nº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21517C" w:rsidRPr="00AD10B5" w:rsidRDefault="002F3D84" w:rsidP="002F3D84">
            <w:pPr>
              <w:tabs>
                <w:tab w:val="left" w:pos="141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30129</w:t>
            </w:r>
          </w:p>
        </w:tc>
      </w:tr>
      <w:tr w:rsidR="0021517C" w:rsidRPr="001C2D6B" w:rsidTr="00E177C5">
        <w:trPr>
          <w:trHeight w:val="530"/>
        </w:trPr>
        <w:tc>
          <w:tcPr>
            <w:tcW w:w="251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21517C" w:rsidRPr="001C2D6B" w:rsidRDefault="0021517C" w:rsidP="002F3D84">
            <w:pPr>
              <w:tabs>
                <w:tab w:val="left" w:pos="1418"/>
              </w:tabs>
            </w:pPr>
            <w:r>
              <w:t>PRO</w:t>
            </w:r>
            <w:r w:rsidR="006D1CDE">
              <w:t xml:space="preserve">CESSO DE FISCALIZAÇÃO </w:t>
            </w:r>
            <w:r>
              <w:t>Nº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21517C" w:rsidRDefault="002F3D84" w:rsidP="002F3D84">
            <w:pPr>
              <w:tabs>
                <w:tab w:val="left" w:pos="141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1000116975</w:t>
            </w:r>
          </w:p>
        </w:tc>
      </w:tr>
      <w:tr w:rsidR="0021517C" w:rsidRPr="001C2D6B" w:rsidTr="00E177C5">
        <w:trPr>
          <w:trHeight w:val="487"/>
        </w:trPr>
        <w:tc>
          <w:tcPr>
            <w:tcW w:w="251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21517C" w:rsidRPr="001C2D6B" w:rsidRDefault="0021517C" w:rsidP="002F3D84">
            <w:pPr>
              <w:tabs>
                <w:tab w:val="left" w:pos="1418"/>
              </w:tabs>
            </w:pPr>
            <w:r w:rsidRPr="0021517C">
              <w:t>PROTOCOLO SICCAU Nº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21517C" w:rsidRPr="00AD10B5" w:rsidRDefault="002F3D84" w:rsidP="002F3D84">
            <w:pPr>
              <w:tabs>
                <w:tab w:val="left" w:pos="141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1204129/2020</w:t>
            </w:r>
          </w:p>
        </w:tc>
      </w:tr>
      <w:tr w:rsidR="0021517C" w:rsidRPr="001C2D6B" w:rsidTr="00E177C5">
        <w:trPr>
          <w:trHeight w:val="325"/>
        </w:trPr>
        <w:tc>
          <w:tcPr>
            <w:tcW w:w="251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21517C" w:rsidRPr="001C2D6B" w:rsidRDefault="0021517C" w:rsidP="002F3D84">
            <w:pPr>
              <w:tabs>
                <w:tab w:val="left" w:pos="1418"/>
              </w:tabs>
            </w:pPr>
            <w:r>
              <w:t>ASSUNTO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21517C" w:rsidRPr="001C2D6B" w:rsidRDefault="002643F0" w:rsidP="002F3D84">
            <w:pPr>
              <w:tabs>
                <w:tab w:val="left" w:pos="1418"/>
              </w:tabs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Juízo de Admissibilidade</w:t>
            </w:r>
          </w:p>
        </w:tc>
      </w:tr>
      <w:tr w:rsidR="0021517C" w:rsidRPr="001C2D6B" w:rsidTr="00E177C5">
        <w:trPr>
          <w:trHeight w:val="303"/>
        </w:trPr>
        <w:tc>
          <w:tcPr>
            <w:tcW w:w="251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21517C" w:rsidRPr="001C2D6B" w:rsidRDefault="0021517C" w:rsidP="002F3D84">
            <w:pPr>
              <w:tabs>
                <w:tab w:val="left" w:pos="1418"/>
              </w:tabs>
            </w:pPr>
            <w:r w:rsidRPr="001C2D6B">
              <w:t>RELATOR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21517C" w:rsidRPr="001C2D6B" w:rsidRDefault="002F3D84" w:rsidP="002F3D84">
            <w:pPr>
              <w:tabs>
                <w:tab w:val="left" w:pos="141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Pedro Paulo Barbosa Cordeiro</w:t>
            </w:r>
          </w:p>
        </w:tc>
      </w:tr>
      <w:tr w:rsidR="0021517C" w:rsidRPr="001C2D6B" w:rsidTr="00E177C5">
        <w:trPr>
          <w:trHeight w:hRule="exact" w:val="715"/>
        </w:trPr>
        <w:tc>
          <w:tcPr>
            <w:tcW w:w="9464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21517C" w:rsidRPr="001C2D6B" w:rsidRDefault="00731CB7" w:rsidP="002F3D84">
            <w:pPr>
              <w:tabs>
                <w:tab w:val="left" w:pos="1418"/>
              </w:tabs>
              <w:jc w:val="center"/>
            </w:pPr>
            <w:r>
              <w:rPr>
                <w:b/>
              </w:rPr>
              <w:t>DELIBERAÇÃO CED/</w:t>
            </w:r>
            <w:r w:rsidR="0021517C" w:rsidRPr="001C2D6B">
              <w:rPr>
                <w:b/>
              </w:rPr>
              <w:t>CAU/</w:t>
            </w:r>
            <w:r w:rsidR="0021517C">
              <w:rPr>
                <w:b/>
              </w:rPr>
              <w:t>AM</w:t>
            </w:r>
            <w:r w:rsidR="0021517C" w:rsidRPr="001C2D6B">
              <w:rPr>
                <w:b/>
              </w:rPr>
              <w:t xml:space="preserve"> nº</w:t>
            </w:r>
            <w:r w:rsidR="00552083">
              <w:rPr>
                <w:b/>
              </w:rPr>
              <w:t xml:space="preserve"> </w:t>
            </w:r>
            <w:r w:rsidR="009F76FE">
              <w:rPr>
                <w:b/>
              </w:rPr>
              <w:t>0</w:t>
            </w:r>
            <w:r w:rsidR="00D41F07">
              <w:rPr>
                <w:b/>
              </w:rPr>
              <w:t>0</w:t>
            </w:r>
            <w:r w:rsidR="00552083">
              <w:rPr>
                <w:b/>
              </w:rPr>
              <w:t>1</w:t>
            </w:r>
            <w:r w:rsidR="0021517C" w:rsidRPr="001C2D6B">
              <w:rPr>
                <w:b/>
              </w:rPr>
              <w:t>/20</w:t>
            </w:r>
            <w:r w:rsidR="00552083">
              <w:rPr>
                <w:b/>
              </w:rPr>
              <w:t>21</w:t>
            </w:r>
          </w:p>
        </w:tc>
      </w:tr>
    </w:tbl>
    <w:p w:rsidR="00477E18" w:rsidRDefault="00477E18" w:rsidP="00477E18">
      <w:pPr>
        <w:jc w:val="both"/>
        <w:rPr>
          <w:rFonts w:eastAsia="Times New Roman"/>
          <w:sz w:val="22"/>
          <w:szCs w:val="22"/>
          <w:lang w:eastAsia="pt-BR"/>
        </w:rPr>
      </w:pPr>
    </w:p>
    <w:p w:rsidR="001D02F1" w:rsidRDefault="001D02F1" w:rsidP="002643F0">
      <w:pPr>
        <w:spacing w:line="276" w:lineRule="auto"/>
        <w:jc w:val="both"/>
        <w:rPr>
          <w:rFonts w:eastAsia="Times New Roman"/>
          <w:lang w:eastAsia="pt-BR"/>
        </w:rPr>
      </w:pPr>
    </w:p>
    <w:p w:rsidR="001D02F1" w:rsidRDefault="001D02F1" w:rsidP="002643F0">
      <w:pPr>
        <w:spacing w:line="276" w:lineRule="auto"/>
        <w:jc w:val="both"/>
        <w:rPr>
          <w:rFonts w:eastAsia="Times New Roman"/>
          <w:lang w:eastAsia="pt-BR"/>
        </w:rPr>
      </w:pPr>
    </w:p>
    <w:p w:rsidR="00477E18" w:rsidRPr="006F4E93" w:rsidRDefault="0001242B" w:rsidP="002643F0">
      <w:pPr>
        <w:spacing w:line="276" w:lineRule="auto"/>
        <w:jc w:val="both"/>
        <w:rPr>
          <w:rFonts w:eastAsia="Times New Roman"/>
          <w:lang w:eastAsia="pt-BR"/>
        </w:rPr>
      </w:pPr>
      <w:r w:rsidRPr="006F4E93">
        <w:rPr>
          <w:rFonts w:eastAsia="Times New Roman"/>
          <w:lang w:eastAsia="pt-BR"/>
        </w:rPr>
        <w:t>A COMISSÃO DE ÉTICA E DISCIPLINA – CED</w:t>
      </w:r>
      <w:r w:rsidR="00477E18" w:rsidRPr="006F4E93">
        <w:rPr>
          <w:rFonts w:eastAsia="Times New Roman"/>
          <w:lang w:eastAsia="pt-BR"/>
        </w:rPr>
        <w:t>, reunida ordinariamente em</w:t>
      </w:r>
      <w:r w:rsidR="006D668C" w:rsidRPr="006F4E93">
        <w:rPr>
          <w:rFonts w:eastAsia="Times New Roman"/>
          <w:lang w:eastAsia="pt-BR"/>
        </w:rPr>
        <w:t xml:space="preserve"> </w:t>
      </w:r>
      <w:proofErr w:type="gramStart"/>
      <w:r w:rsidR="006D668C" w:rsidRPr="006F4E93">
        <w:rPr>
          <w:rFonts w:eastAsia="Times New Roman"/>
          <w:lang w:eastAsia="pt-BR"/>
        </w:rPr>
        <w:t>Manaus -</w:t>
      </w:r>
      <w:r w:rsidR="00260235" w:rsidRPr="006F4E93">
        <w:rPr>
          <w:rFonts w:eastAsia="Times New Roman"/>
          <w:lang w:eastAsia="pt-BR"/>
        </w:rPr>
        <w:t>AM</w:t>
      </w:r>
      <w:proofErr w:type="gramEnd"/>
      <w:r w:rsidR="00260235" w:rsidRPr="006F4E93">
        <w:rPr>
          <w:rFonts w:eastAsia="Times New Roman"/>
          <w:lang w:eastAsia="pt-BR"/>
        </w:rPr>
        <w:t>, na sede do CAU/AM, no dia</w:t>
      </w:r>
      <w:r w:rsidR="00590BBB">
        <w:rPr>
          <w:rFonts w:eastAsia="Times New Roman"/>
          <w:lang w:eastAsia="pt-BR"/>
        </w:rPr>
        <w:t xml:space="preserve"> </w:t>
      </w:r>
      <w:r w:rsidR="002F3D84">
        <w:rPr>
          <w:rFonts w:eastAsia="Times New Roman"/>
          <w:lang w:eastAsia="pt-BR"/>
        </w:rPr>
        <w:t>07 de abril</w:t>
      </w:r>
      <w:r w:rsidR="00BB6D5B">
        <w:rPr>
          <w:rFonts w:eastAsia="Times New Roman"/>
          <w:lang w:eastAsia="pt-BR"/>
        </w:rPr>
        <w:t xml:space="preserve"> de 20</w:t>
      </w:r>
      <w:r w:rsidR="002F3D84">
        <w:rPr>
          <w:rFonts w:eastAsia="Times New Roman"/>
          <w:lang w:eastAsia="pt-BR"/>
        </w:rPr>
        <w:t>21</w:t>
      </w:r>
      <w:r w:rsidR="00477E18" w:rsidRPr="006F4E93">
        <w:rPr>
          <w:rFonts w:eastAsia="Times New Roman"/>
          <w:lang w:eastAsia="pt-BR"/>
        </w:rPr>
        <w:t>, no uso das competênc</w:t>
      </w:r>
      <w:r w:rsidR="0095641B" w:rsidRPr="006F4E93">
        <w:rPr>
          <w:rFonts w:eastAsia="Times New Roman"/>
          <w:lang w:eastAsia="pt-BR"/>
        </w:rPr>
        <w:t>ias que lhe conferem</w:t>
      </w:r>
      <w:r w:rsidR="00590BBB">
        <w:rPr>
          <w:rFonts w:eastAsia="Times New Roman"/>
          <w:lang w:eastAsia="pt-BR"/>
        </w:rPr>
        <w:t xml:space="preserve"> </w:t>
      </w:r>
      <w:r w:rsidR="00731CB7" w:rsidRPr="00731CB7">
        <w:rPr>
          <w:rFonts w:eastAsia="Times New Roman"/>
          <w:lang w:eastAsia="pt-BR"/>
        </w:rPr>
        <w:t>o artigo 12, § 1º, da Resolução nº 104 do CAU/BR, o artigo 2º, inciso III, alínea ‘b’, da Resolução nº 30 do CAU/BR</w:t>
      </w:r>
      <w:r w:rsidR="0095641B" w:rsidRPr="006F4E93">
        <w:rPr>
          <w:rFonts w:eastAsia="Times New Roman"/>
          <w:lang w:eastAsia="pt-BR"/>
        </w:rPr>
        <w:t xml:space="preserve"> o inciso I</w:t>
      </w:r>
      <w:r w:rsidRPr="006F4E93">
        <w:rPr>
          <w:rFonts w:eastAsia="Times New Roman"/>
          <w:lang w:eastAsia="pt-BR"/>
        </w:rPr>
        <w:t xml:space="preserve">I </w:t>
      </w:r>
      <w:r w:rsidR="00B968AB" w:rsidRPr="006F4E93">
        <w:rPr>
          <w:rFonts w:eastAsia="Times New Roman"/>
          <w:lang w:eastAsia="pt-BR"/>
        </w:rPr>
        <w:t xml:space="preserve">do art. </w:t>
      </w:r>
      <w:r w:rsidRPr="006F4E93">
        <w:rPr>
          <w:rFonts w:eastAsia="Times New Roman"/>
          <w:lang w:eastAsia="pt-BR"/>
        </w:rPr>
        <w:t>95</w:t>
      </w:r>
      <w:r w:rsidR="00477E18" w:rsidRPr="006F4E93">
        <w:rPr>
          <w:rFonts w:eastAsia="Times New Roman"/>
          <w:lang w:eastAsia="pt-BR"/>
        </w:rPr>
        <w:t xml:space="preserve"> do Regimento </w:t>
      </w:r>
      <w:r w:rsidR="006D668C" w:rsidRPr="006F4E93">
        <w:rPr>
          <w:rFonts w:eastAsia="Times New Roman"/>
          <w:lang w:eastAsia="pt-BR"/>
        </w:rPr>
        <w:t>Interno do CAU/AM</w:t>
      </w:r>
      <w:r w:rsidR="00731CB7">
        <w:rPr>
          <w:rFonts w:eastAsia="Times New Roman"/>
          <w:lang w:eastAsia="pt-BR"/>
        </w:rPr>
        <w:t>.</w:t>
      </w:r>
    </w:p>
    <w:p w:rsidR="00AF147E" w:rsidRDefault="00AF147E" w:rsidP="002643F0">
      <w:pPr>
        <w:spacing w:line="276" w:lineRule="auto"/>
        <w:jc w:val="both"/>
        <w:rPr>
          <w:rFonts w:eastAsia="Times New Roman"/>
          <w:lang w:eastAsia="pt-BR"/>
        </w:rPr>
      </w:pPr>
    </w:p>
    <w:p w:rsidR="002643F0" w:rsidRDefault="002643F0" w:rsidP="002643F0">
      <w:pPr>
        <w:spacing w:line="276" w:lineRule="auto"/>
        <w:jc w:val="both"/>
        <w:rPr>
          <w:rFonts w:eastAsia="Times New Roman"/>
          <w:lang w:eastAsia="pt-BR"/>
        </w:rPr>
      </w:pPr>
      <w:r w:rsidRPr="002643F0">
        <w:rPr>
          <w:rFonts w:eastAsia="Times New Roman"/>
          <w:lang w:eastAsia="pt-BR"/>
        </w:rPr>
        <w:t>Considerando</w:t>
      </w:r>
      <w:r>
        <w:rPr>
          <w:rFonts w:eastAsia="Times New Roman"/>
          <w:lang w:eastAsia="pt-BR"/>
        </w:rPr>
        <w:t xml:space="preserve"> os fatos </w:t>
      </w:r>
      <w:r w:rsidR="002F3D84">
        <w:rPr>
          <w:rFonts w:eastAsia="Times New Roman"/>
          <w:lang w:eastAsia="pt-BR"/>
        </w:rPr>
        <w:t>expostos pelo relator Pedro Paulo Barbosa Cordeiro</w:t>
      </w:r>
      <w:r w:rsidRPr="002643F0">
        <w:rPr>
          <w:rFonts w:eastAsia="Times New Roman"/>
          <w:lang w:eastAsia="pt-BR"/>
        </w:rPr>
        <w:t>, no parecer de admissibilidade.</w:t>
      </w:r>
      <w:bookmarkStart w:id="0" w:name="_GoBack"/>
      <w:bookmarkEnd w:id="0"/>
    </w:p>
    <w:p w:rsidR="002643F0" w:rsidRDefault="002643F0" w:rsidP="002643F0">
      <w:pPr>
        <w:spacing w:line="276" w:lineRule="auto"/>
        <w:jc w:val="both"/>
        <w:rPr>
          <w:rFonts w:eastAsia="Times New Roman"/>
          <w:lang w:eastAsia="pt-BR"/>
        </w:rPr>
      </w:pPr>
    </w:p>
    <w:p w:rsidR="002643F0" w:rsidRDefault="002643F0" w:rsidP="002643F0">
      <w:pPr>
        <w:spacing w:line="276" w:lineRule="auto"/>
        <w:jc w:val="both"/>
        <w:rPr>
          <w:rFonts w:eastAsia="Times New Roman"/>
          <w:lang w:eastAsia="pt-BR"/>
        </w:rPr>
      </w:pPr>
      <w:r w:rsidRPr="002F3D84">
        <w:rPr>
          <w:rFonts w:eastAsia="Times New Roman"/>
          <w:lang w:eastAsia="pt-BR"/>
        </w:rPr>
        <w:t xml:space="preserve">Considerando que </w:t>
      </w:r>
      <w:r w:rsidR="002F3D84" w:rsidRPr="002F3D84">
        <w:rPr>
          <w:rFonts w:eastAsia="Times New Roman"/>
          <w:lang w:eastAsia="pt-BR"/>
        </w:rPr>
        <w:t xml:space="preserve">não </w:t>
      </w:r>
      <w:r w:rsidRPr="002F3D84">
        <w:rPr>
          <w:rFonts w:eastAsia="Times New Roman"/>
          <w:lang w:eastAsia="pt-BR"/>
        </w:rPr>
        <w:t>há indício de infração aos incisos do art. 18, da Lei nº 12.378/2010, bem como aos do Código de ética e Disciplina, aprovado pela Resolução CAU/BR nº 52/2013.</w:t>
      </w:r>
    </w:p>
    <w:p w:rsidR="002643F0" w:rsidRDefault="002643F0" w:rsidP="002643F0">
      <w:pPr>
        <w:spacing w:line="276" w:lineRule="auto"/>
        <w:jc w:val="both"/>
        <w:rPr>
          <w:rFonts w:eastAsia="Times New Roman"/>
          <w:lang w:eastAsia="pt-BR"/>
        </w:rPr>
      </w:pPr>
    </w:p>
    <w:p w:rsidR="002643F0" w:rsidRDefault="002643F0" w:rsidP="002643F0">
      <w:pPr>
        <w:spacing w:line="276" w:lineRule="auto"/>
        <w:jc w:val="both"/>
        <w:rPr>
          <w:rFonts w:eastAsia="Times New Roman"/>
          <w:lang w:eastAsia="pt-BR"/>
        </w:rPr>
      </w:pPr>
      <w:r w:rsidRPr="002643F0">
        <w:rPr>
          <w:rFonts w:eastAsia="Times New Roman"/>
          <w:lang w:eastAsia="pt-BR"/>
        </w:rPr>
        <w:t>Consi</w:t>
      </w:r>
      <w:r>
        <w:rPr>
          <w:rFonts w:eastAsia="Times New Roman"/>
          <w:lang w:eastAsia="pt-BR"/>
        </w:rPr>
        <w:t>derando que compete à CED-CAU/AM</w:t>
      </w:r>
      <w:r w:rsidRPr="002643F0">
        <w:rPr>
          <w:rFonts w:eastAsia="Times New Roman"/>
          <w:lang w:eastAsia="pt-BR"/>
        </w:rPr>
        <w:t xml:space="preserve"> realizar o juízo de admissibilidade, imediatamente após a leitura do parecer de admissibilidade</w:t>
      </w:r>
      <w:r>
        <w:rPr>
          <w:rFonts w:eastAsia="Times New Roman"/>
          <w:lang w:eastAsia="pt-BR"/>
        </w:rPr>
        <w:t>,</w:t>
      </w:r>
      <w:r w:rsidRPr="002643F0">
        <w:rPr>
          <w:rFonts w:eastAsia="Times New Roman"/>
          <w:lang w:eastAsia="pt-BR"/>
        </w:rPr>
        <w:t xml:space="preserve"> emitido pelo relator, nos termos do art. 21, da Resolução CAU/BR nº 143/2017.</w:t>
      </w:r>
    </w:p>
    <w:p w:rsidR="001D02F1" w:rsidRPr="002643F0" w:rsidRDefault="001D02F1" w:rsidP="002643F0">
      <w:pPr>
        <w:spacing w:line="276" w:lineRule="auto"/>
        <w:jc w:val="both"/>
        <w:rPr>
          <w:rFonts w:eastAsia="Times New Roman"/>
          <w:lang w:eastAsia="pt-BR"/>
        </w:rPr>
      </w:pPr>
    </w:p>
    <w:p w:rsidR="002643F0" w:rsidRDefault="002643F0" w:rsidP="00714891">
      <w:pPr>
        <w:spacing w:line="276" w:lineRule="auto"/>
        <w:jc w:val="both"/>
        <w:rPr>
          <w:rFonts w:eastAsia="Times New Roman"/>
          <w:b/>
          <w:lang w:eastAsia="pt-BR"/>
        </w:rPr>
      </w:pPr>
    </w:p>
    <w:p w:rsidR="00477E18" w:rsidRDefault="00477E18" w:rsidP="00714891">
      <w:pPr>
        <w:spacing w:line="276" w:lineRule="auto"/>
        <w:jc w:val="both"/>
        <w:rPr>
          <w:rFonts w:eastAsia="Times New Roman"/>
          <w:b/>
          <w:lang w:eastAsia="pt-BR"/>
        </w:rPr>
      </w:pPr>
      <w:r w:rsidRPr="006F4E93">
        <w:rPr>
          <w:rFonts w:eastAsia="Times New Roman"/>
          <w:b/>
          <w:lang w:eastAsia="pt-BR"/>
        </w:rPr>
        <w:t>DELIBEROU:</w:t>
      </w:r>
    </w:p>
    <w:p w:rsidR="002643F0" w:rsidRPr="006F4E93" w:rsidRDefault="002643F0" w:rsidP="00714891">
      <w:pPr>
        <w:spacing w:line="276" w:lineRule="auto"/>
        <w:jc w:val="both"/>
        <w:rPr>
          <w:rFonts w:eastAsia="Times New Roman"/>
          <w:b/>
          <w:lang w:eastAsia="pt-BR"/>
        </w:rPr>
      </w:pPr>
    </w:p>
    <w:p w:rsidR="00EF627D" w:rsidRDefault="00EF627D" w:rsidP="00EF627D">
      <w:pPr>
        <w:pStyle w:val="PargrafodaLista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lang w:eastAsia="pt-BR"/>
        </w:rPr>
      </w:pPr>
      <w:r w:rsidRPr="007E2C59">
        <w:rPr>
          <w:rFonts w:ascii="Times New Roman" w:eastAsia="Times New Roman" w:hAnsi="Times New Roman" w:cs="Times New Roman"/>
          <w:lang w:eastAsia="pt-BR"/>
        </w:rPr>
        <w:t>Aprovar o não acatamento da denúncia e a consequente determinação do seu arquivamento liminar, nos termos do parecer do relator;</w:t>
      </w:r>
    </w:p>
    <w:p w:rsidR="00EF627D" w:rsidRDefault="00E703E7" w:rsidP="00EF627D">
      <w:pPr>
        <w:pStyle w:val="PargrafodaLista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lang w:eastAsia="pt-BR"/>
        </w:rPr>
        <w:t>Intimar a</w:t>
      </w:r>
      <w:r w:rsidR="00EF627D" w:rsidRPr="007E2C59">
        <w:rPr>
          <w:rFonts w:ascii="Times New Roman" w:eastAsia="Times New Roman" w:hAnsi="Times New Roman" w:cs="Times New Roman"/>
          <w:lang w:eastAsia="pt-BR"/>
        </w:rPr>
        <w:t xml:space="preserve"> denunciante desta decisão, cabendo interposição </w:t>
      </w:r>
      <w:r w:rsidR="00EF627D">
        <w:rPr>
          <w:rFonts w:ascii="Times New Roman" w:eastAsia="Times New Roman" w:hAnsi="Times New Roman" w:cs="Times New Roman"/>
          <w:lang w:eastAsia="pt-BR"/>
        </w:rPr>
        <w:t>de recurso ao Plenário do CAU/AM</w:t>
      </w:r>
      <w:r w:rsidR="00EF627D" w:rsidRPr="007E2C59">
        <w:rPr>
          <w:rFonts w:ascii="Times New Roman" w:eastAsia="Times New Roman" w:hAnsi="Times New Roman" w:cs="Times New Roman"/>
          <w:lang w:eastAsia="pt-BR"/>
        </w:rPr>
        <w:t xml:space="preserve"> no prazo de 10 (dez) dias, nos termos do art. 22 da Resolução n° 143 do CAU/BR.</w:t>
      </w:r>
    </w:p>
    <w:p w:rsidR="00EF627D" w:rsidRDefault="00EF627D" w:rsidP="00EF627D">
      <w:pPr>
        <w:pStyle w:val="PargrafodaLista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lang w:eastAsia="pt-BR"/>
        </w:rPr>
      </w:pPr>
      <w:r w:rsidRPr="007E2C59">
        <w:rPr>
          <w:rFonts w:ascii="Times New Roman" w:eastAsia="Times New Roman" w:hAnsi="Times New Roman" w:cs="Times New Roman"/>
          <w:lang w:eastAsia="pt-BR"/>
        </w:rPr>
        <w:t>Intimar a parte denunciada da decisão, informando que cabe recurso.</w:t>
      </w:r>
    </w:p>
    <w:p w:rsidR="00EF627D" w:rsidRDefault="00EF627D" w:rsidP="00EF627D">
      <w:pPr>
        <w:pStyle w:val="PargrafodaLista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lang w:eastAsia="pt-BR"/>
        </w:rPr>
      </w:pPr>
      <w:r w:rsidRPr="007E2C59">
        <w:rPr>
          <w:rFonts w:ascii="Times New Roman" w:eastAsia="Times New Roman" w:hAnsi="Times New Roman" w:cs="Times New Roman"/>
          <w:lang w:eastAsia="pt-BR"/>
        </w:rPr>
        <w:t>Caso haja interposição de recurso, oficiar a parte denunciada para que, querendo, apresente contrarrazões no prazo de 10 (dez) dias.</w:t>
      </w:r>
    </w:p>
    <w:p w:rsidR="00EF627D" w:rsidRDefault="00EF627D" w:rsidP="00EF627D">
      <w:pPr>
        <w:spacing w:line="276" w:lineRule="auto"/>
        <w:jc w:val="both"/>
        <w:rPr>
          <w:rFonts w:eastAsia="Times New Roman" w:cs="Times New Roman"/>
          <w:lang w:eastAsia="pt-BR"/>
        </w:rPr>
      </w:pPr>
    </w:p>
    <w:p w:rsidR="00AF147E" w:rsidRDefault="00AF147E" w:rsidP="002643F0">
      <w:pPr>
        <w:spacing w:line="276" w:lineRule="auto"/>
        <w:jc w:val="both"/>
        <w:rPr>
          <w:rFonts w:eastAsia="Times New Roman" w:cs="Times New Roman"/>
          <w:lang w:eastAsia="pt-BR"/>
        </w:rPr>
      </w:pPr>
      <w:bookmarkStart w:id="1" w:name="_Hlk526923881"/>
    </w:p>
    <w:p w:rsidR="00530FC4" w:rsidRDefault="00530FC4" w:rsidP="002643F0">
      <w:pPr>
        <w:spacing w:line="276" w:lineRule="auto"/>
        <w:jc w:val="both"/>
        <w:rPr>
          <w:rFonts w:eastAsia="Times New Roman" w:cs="Times New Roman"/>
          <w:lang w:eastAsia="pt-BR"/>
        </w:rPr>
      </w:pPr>
      <w:r>
        <w:rPr>
          <w:rFonts w:eastAsia="Times New Roman" w:cs="Times New Roman"/>
          <w:lang w:eastAsia="pt-BR"/>
        </w:rPr>
        <w:lastRenderedPageBreak/>
        <w:t>Com 0</w:t>
      </w:r>
      <w:r w:rsidR="006D41D3">
        <w:rPr>
          <w:rFonts w:eastAsia="Times New Roman" w:cs="Times New Roman"/>
          <w:lang w:eastAsia="pt-BR"/>
        </w:rPr>
        <w:t>3</w:t>
      </w:r>
      <w:r>
        <w:rPr>
          <w:rFonts w:eastAsia="Times New Roman" w:cs="Times New Roman"/>
          <w:lang w:eastAsia="pt-BR"/>
        </w:rPr>
        <w:t xml:space="preserve"> votos favoráveis dos conselheiros</w:t>
      </w:r>
      <w:r w:rsidR="00AF147E">
        <w:rPr>
          <w:rFonts w:eastAsia="Times New Roman" w:cs="Times New Roman"/>
          <w:lang w:eastAsia="pt-BR"/>
        </w:rPr>
        <w:t>:</w:t>
      </w:r>
      <w:r>
        <w:rPr>
          <w:rFonts w:eastAsia="Times New Roman" w:cs="Times New Roman"/>
          <w:lang w:eastAsia="pt-BR"/>
        </w:rPr>
        <w:t xml:space="preserve"> </w:t>
      </w:r>
      <w:proofErr w:type="spellStart"/>
      <w:r w:rsidR="00E703E7" w:rsidRPr="008A4235">
        <w:rPr>
          <w:rStyle w:val="fontstyle0"/>
          <w:rFonts w:cs="Times New Roman"/>
          <w:color w:val="000000"/>
          <w:shd w:val="clear" w:color="auto" w:fill="FFFFFF"/>
        </w:rPr>
        <w:t>Layla</w:t>
      </w:r>
      <w:proofErr w:type="spellEnd"/>
      <w:r w:rsidR="00E703E7" w:rsidRPr="008A4235">
        <w:rPr>
          <w:rStyle w:val="fontstyle0"/>
          <w:rFonts w:cs="Times New Roman"/>
          <w:color w:val="000000"/>
          <w:shd w:val="clear" w:color="auto" w:fill="FFFFFF"/>
        </w:rPr>
        <w:t xml:space="preserve"> </w:t>
      </w:r>
      <w:proofErr w:type="spellStart"/>
      <w:r w:rsidR="00E703E7" w:rsidRPr="008A4235">
        <w:rPr>
          <w:rStyle w:val="fontstyle0"/>
          <w:rFonts w:cs="Times New Roman"/>
          <w:color w:val="000000"/>
          <w:shd w:val="clear" w:color="auto" w:fill="FFFFFF"/>
        </w:rPr>
        <w:t>Jamyle</w:t>
      </w:r>
      <w:proofErr w:type="spellEnd"/>
      <w:r w:rsidR="00E703E7" w:rsidRPr="008A4235">
        <w:rPr>
          <w:rStyle w:val="fontstyle0"/>
          <w:rFonts w:cs="Times New Roman"/>
          <w:color w:val="000000"/>
          <w:shd w:val="clear" w:color="auto" w:fill="FFFFFF"/>
        </w:rPr>
        <w:t xml:space="preserve"> </w:t>
      </w:r>
      <w:proofErr w:type="spellStart"/>
      <w:r w:rsidR="00E703E7" w:rsidRPr="008A4235">
        <w:rPr>
          <w:rStyle w:val="fontstyle0"/>
          <w:rFonts w:cs="Times New Roman"/>
          <w:color w:val="000000"/>
          <w:shd w:val="clear" w:color="auto" w:fill="FFFFFF"/>
        </w:rPr>
        <w:t>Matalon</w:t>
      </w:r>
      <w:proofErr w:type="spellEnd"/>
      <w:r w:rsidR="00E703E7" w:rsidRPr="008A4235">
        <w:rPr>
          <w:rStyle w:val="fontstyle0"/>
          <w:rFonts w:cs="Times New Roman"/>
          <w:color w:val="000000"/>
          <w:shd w:val="clear" w:color="auto" w:fill="FFFFFF"/>
        </w:rPr>
        <w:t xml:space="preserve"> </w:t>
      </w:r>
      <w:proofErr w:type="spellStart"/>
      <w:r w:rsidR="00E703E7" w:rsidRPr="008A4235">
        <w:rPr>
          <w:rStyle w:val="fontstyle0"/>
          <w:rFonts w:cs="Times New Roman"/>
          <w:color w:val="000000"/>
          <w:shd w:val="clear" w:color="auto" w:fill="FFFFFF"/>
        </w:rPr>
        <w:t>Schwarcz</w:t>
      </w:r>
      <w:proofErr w:type="spellEnd"/>
      <w:r>
        <w:rPr>
          <w:rFonts w:eastAsia="Times New Roman" w:cs="Times New Roman"/>
          <w:lang w:eastAsia="pt-BR"/>
        </w:rPr>
        <w:t xml:space="preserve">; </w:t>
      </w:r>
      <w:r w:rsidR="00E703E7">
        <w:rPr>
          <w:rStyle w:val="fontstyle0"/>
          <w:rFonts w:cs="Times New Roman"/>
          <w:color w:val="000000"/>
          <w:shd w:val="clear" w:color="auto" w:fill="FFFFFF"/>
        </w:rPr>
        <w:t xml:space="preserve">Claudia Elisabeth </w:t>
      </w:r>
      <w:proofErr w:type="spellStart"/>
      <w:r w:rsidR="00E703E7">
        <w:rPr>
          <w:rStyle w:val="fontstyle0"/>
          <w:rFonts w:cs="Times New Roman"/>
          <w:color w:val="000000"/>
          <w:shd w:val="clear" w:color="auto" w:fill="FFFFFF"/>
        </w:rPr>
        <w:t>Nerling</w:t>
      </w:r>
      <w:proofErr w:type="spellEnd"/>
      <w:r w:rsidR="00E703E7">
        <w:rPr>
          <w:rFonts w:eastAsia="Times New Roman" w:cs="Times New Roman"/>
          <w:lang w:eastAsia="pt-BR"/>
        </w:rPr>
        <w:t xml:space="preserve"> </w:t>
      </w:r>
      <w:r>
        <w:rPr>
          <w:rFonts w:eastAsia="Times New Roman" w:cs="Times New Roman"/>
          <w:lang w:eastAsia="pt-BR"/>
        </w:rPr>
        <w:t xml:space="preserve">e </w:t>
      </w:r>
      <w:r w:rsidR="00E703E7" w:rsidRPr="008A4235">
        <w:rPr>
          <w:rStyle w:val="fontstyle0"/>
          <w:rFonts w:cs="Times New Roman"/>
          <w:color w:val="000000"/>
          <w:shd w:val="clear" w:color="auto" w:fill="FFFFFF"/>
        </w:rPr>
        <w:t xml:space="preserve">Pedro </w:t>
      </w:r>
      <w:r w:rsidR="00E703E7">
        <w:rPr>
          <w:rStyle w:val="fontstyle0"/>
          <w:rFonts w:cs="Times New Roman"/>
          <w:color w:val="000000"/>
          <w:shd w:val="clear" w:color="auto" w:fill="FFFFFF"/>
        </w:rPr>
        <w:t>P</w:t>
      </w:r>
      <w:r w:rsidR="00E703E7" w:rsidRPr="008A4235">
        <w:rPr>
          <w:rStyle w:val="fontstyle0"/>
          <w:rFonts w:cs="Times New Roman"/>
          <w:color w:val="000000"/>
          <w:shd w:val="clear" w:color="auto" w:fill="FFFFFF"/>
        </w:rPr>
        <w:t xml:space="preserve">aulo </w:t>
      </w:r>
      <w:r w:rsidR="00E703E7">
        <w:rPr>
          <w:rStyle w:val="fontstyle0"/>
          <w:rFonts w:cs="Times New Roman"/>
          <w:color w:val="000000"/>
          <w:shd w:val="clear" w:color="auto" w:fill="FFFFFF"/>
        </w:rPr>
        <w:t>B</w:t>
      </w:r>
      <w:r w:rsidR="00E703E7" w:rsidRPr="008A4235">
        <w:rPr>
          <w:rStyle w:val="fontstyle0"/>
          <w:rFonts w:cs="Times New Roman"/>
          <w:color w:val="000000"/>
          <w:shd w:val="clear" w:color="auto" w:fill="FFFFFF"/>
        </w:rPr>
        <w:t xml:space="preserve">arbosa </w:t>
      </w:r>
      <w:r w:rsidR="00E703E7">
        <w:rPr>
          <w:rStyle w:val="fontstyle0"/>
          <w:rFonts w:cs="Times New Roman"/>
          <w:color w:val="000000"/>
          <w:shd w:val="clear" w:color="auto" w:fill="FFFFFF"/>
        </w:rPr>
        <w:t>C</w:t>
      </w:r>
      <w:r w:rsidR="00E703E7" w:rsidRPr="008A4235">
        <w:rPr>
          <w:rStyle w:val="fontstyle0"/>
          <w:rFonts w:cs="Times New Roman"/>
          <w:color w:val="000000"/>
          <w:shd w:val="clear" w:color="auto" w:fill="FFFFFF"/>
        </w:rPr>
        <w:t>ordeiro</w:t>
      </w:r>
      <w:r>
        <w:rPr>
          <w:rFonts w:eastAsia="Times New Roman" w:cs="Times New Roman"/>
          <w:lang w:eastAsia="pt-BR"/>
        </w:rPr>
        <w:t xml:space="preserve">; </w:t>
      </w:r>
      <w:proofErr w:type="gramStart"/>
      <w:r>
        <w:rPr>
          <w:rFonts w:eastAsia="Times New Roman" w:cs="Times New Roman"/>
          <w:lang w:eastAsia="pt-BR"/>
        </w:rPr>
        <w:t>00 votos</w:t>
      </w:r>
      <w:proofErr w:type="gramEnd"/>
      <w:r>
        <w:rPr>
          <w:rFonts w:eastAsia="Times New Roman" w:cs="Times New Roman"/>
          <w:lang w:eastAsia="pt-BR"/>
        </w:rPr>
        <w:t xml:space="preserve"> contrários; 00 abstenções dos conselheiros e 00 ausências dos conselheiros.</w:t>
      </w:r>
      <w:bookmarkEnd w:id="1"/>
    </w:p>
    <w:p w:rsidR="006F4E93" w:rsidRDefault="006F4E93" w:rsidP="00714891">
      <w:pPr>
        <w:spacing w:line="276" w:lineRule="auto"/>
        <w:jc w:val="both"/>
        <w:rPr>
          <w:rFonts w:eastAsia="Times New Roman"/>
          <w:lang w:eastAsia="pt-BR"/>
        </w:rPr>
      </w:pPr>
    </w:p>
    <w:p w:rsidR="006F4E93" w:rsidRDefault="006F4E93" w:rsidP="00714891">
      <w:pPr>
        <w:spacing w:line="276" w:lineRule="auto"/>
        <w:jc w:val="center"/>
        <w:rPr>
          <w:rFonts w:eastAsia="Times New Roman"/>
          <w:lang w:eastAsia="pt-BR"/>
        </w:rPr>
      </w:pPr>
      <w:r w:rsidRPr="006F4E93">
        <w:rPr>
          <w:rFonts w:eastAsia="Times New Roman"/>
          <w:lang w:eastAsia="pt-BR"/>
        </w:rPr>
        <w:t xml:space="preserve">Manaus/AM, </w:t>
      </w:r>
      <w:r w:rsidR="00E703E7">
        <w:rPr>
          <w:rFonts w:eastAsia="Times New Roman"/>
          <w:lang w:eastAsia="pt-BR"/>
        </w:rPr>
        <w:t>07</w:t>
      </w:r>
      <w:r w:rsidR="0076485E">
        <w:rPr>
          <w:rFonts w:eastAsia="Times New Roman"/>
          <w:lang w:eastAsia="pt-BR"/>
        </w:rPr>
        <w:t xml:space="preserve"> de </w:t>
      </w:r>
      <w:r w:rsidR="00E703E7">
        <w:rPr>
          <w:rFonts w:eastAsia="Times New Roman"/>
          <w:lang w:eastAsia="pt-BR"/>
        </w:rPr>
        <w:t>abril</w:t>
      </w:r>
      <w:r w:rsidR="0076485E">
        <w:rPr>
          <w:rFonts w:eastAsia="Times New Roman"/>
          <w:lang w:eastAsia="pt-BR"/>
        </w:rPr>
        <w:t xml:space="preserve"> de 20</w:t>
      </w:r>
      <w:r w:rsidR="00E703E7">
        <w:rPr>
          <w:rFonts w:eastAsia="Times New Roman"/>
          <w:lang w:eastAsia="pt-BR"/>
        </w:rPr>
        <w:t>21</w:t>
      </w:r>
      <w:r w:rsidRPr="006F4E93">
        <w:rPr>
          <w:rFonts w:eastAsia="Times New Roman"/>
          <w:lang w:eastAsia="pt-BR"/>
        </w:rPr>
        <w:t>.</w:t>
      </w:r>
    </w:p>
    <w:p w:rsidR="00E177C5" w:rsidRPr="006F4E93" w:rsidRDefault="00E177C5" w:rsidP="00714891">
      <w:pPr>
        <w:spacing w:line="276" w:lineRule="auto"/>
        <w:jc w:val="center"/>
        <w:rPr>
          <w:rFonts w:eastAsia="Times New Roman"/>
          <w:lang w:eastAsia="pt-BR"/>
        </w:rPr>
      </w:pPr>
    </w:p>
    <w:p w:rsidR="006F4E93" w:rsidRPr="006F4E93" w:rsidRDefault="006F4E93" w:rsidP="00714891">
      <w:pPr>
        <w:autoSpaceDE w:val="0"/>
        <w:adjustRightInd w:val="0"/>
        <w:spacing w:line="276" w:lineRule="auto"/>
        <w:rPr>
          <w:rFonts w:eastAsia="Times New Roman"/>
          <w:b/>
          <w:caps/>
          <w:spacing w:val="4"/>
          <w:lang w:eastAsia="pt-BR"/>
        </w:rPr>
      </w:pPr>
    </w:p>
    <w:p w:rsidR="006F4E93" w:rsidRPr="006F4E93" w:rsidRDefault="00E703E7" w:rsidP="00714891">
      <w:pPr>
        <w:tabs>
          <w:tab w:val="left" w:pos="7938"/>
        </w:tabs>
        <w:autoSpaceDE w:val="0"/>
        <w:adjustRightInd w:val="0"/>
        <w:spacing w:line="276" w:lineRule="auto"/>
        <w:rPr>
          <w:rFonts w:eastAsia="Calibri"/>
          <w:b/>
          <w:lang w:eastAsia="pt-BR"/>
        </w:rPr>
      </w:pPr>
      <w:r w:rsidRPr="00E703E7">
        <w:rPr>
          <w:rStyle w:val="fontstyle0"/>
          <w:rFonts w:cs="Times New Roman"/>
          <w:b/>
          <w:color w:val="000000"/>
          <w:shd w:val="clear" w:color="auto" w:fill="FFFFFF"/>
        </w:rPr>
        <w:t>LAYLA JAMYLE MATALON SCHWARCZ</w:t>
      </w:r>
      <w:r w:rsidRPr="006F4E93">
        <w:rPr>
          <w:rFonts w:eastAsia="Times New Roman"/>
          <w:b/>
          <w:spacing w:val="4"/>
          <w:lang w:eastAsia="pt-BR"/>
        </w:rPr>
        <w:t xml:space="preserve">     </w:t>
      </w:r>
      <w:r w:rsidRPr="006F4E93">
        <w:rPr>
          <w:rFonts w:eastAsia="Calibri"/>
          <w:b/>
          <w:lang w:eastAsia="pt-BR"/>
        </w:rPr>
        <w:t xml:space="preserve">   </w:t>
      </w:r>
      <w:r>
        <w:rPr>
          <w:rFonts w:eastAsia="Calibri"/>
          <w:b/>
          <w:lang w:eastAsia="pt-BR"/>
        </w:rPr>
        <w:t xml:space="preserve"> </w:t>
      </w:r>
      <w:r w:rsidR="001D02F1">
        <w:rPr>
          <w:rFonts w:eastAsia="Calibri"/>
          <w:b/>
          <w:lang w:eastAsia="pt-BR"/>
        </w:rPr>
        <w:t>___________________________</w:t>
      </w:r>
      <w:r w:rsidR="006F4E93" w:rsidRPr="006F4E93">
        <w:rPr>
          <w:rFonts w:eastAsia="Calibri"/>
          <w:b/>
          <w:lang w:eastAsia="pt-BR"/>
        </w:rPr>
        <w:tab/>
      </w:r>
    </w:p>
    <w:p w:rsidR="006F4E93" w:rsidRPr="006F4E93" w:rsidRDefault="006F4E93" w:rsidP="00714891">
      <w:pPr>
        <w:autoSpaceDE w:val="0"/>
        <w:adjustRightInd w:val="0"/>
        <w:spacing w:line="276" w:lineRule="auto"/>
        <w:rPr>
          <w:rFonts w:eastAsia="Times New Roman"/>
          <w:caps/>
          <w:spacing w:val="4"/>
          <w:lang w:eastAsia="pt-BR"/>
        </w:rPr>
      </w:pPr>
      <w:r w:rsidRPr="006F4E93">
        <w:rPr>
          <w:rFonts w:eastAsia="Calibri"/>
          <w:lang w:eastAsia="pt-BR"/>
        </w:rPr>
        <w:t>Coordenador</w:t>
      </w:r>
      <w:r w:rsidR="00E703E7">
        <w:rPr>
          <w:rFonts w:eastAsia="Calibri"/>
          <w:lang w:eastAsia="pt-BR"/>
        </w:rPr>
        <w:t>a</w:t>
      </w:r>
      <w:r w:rsidRPr="006F4E93">
        <w:rPr>
          <w:rFonts w:eastAsia="Calibri"/>
          <w:lang w:eastAsia="pt-BR"/>
        </w:rPr>
        <w:t xml:space="preserve"> CED</w:t>
      </w:r>
      <w:r w:rsidRPr="006F4E93">
        <w:rPr>
          <w:rFonts w:eastAsia="Times New Roman"/>
          <w:caps/>
          <w:spacing w:val="4"/>
          <w:lang w:eastAsia="pt-BR"/>
        </w:rPr>
        <w:tab/>
      </w:r>
    </w:p>
    <w:p w:rsidR="006F4E93" w:rsidRPr="006F4E93" w:rsidRDefault="006F4E93" w:rsidP="00714891">
      <w:pPr>
        <w:autoSpaceDE w:val="0"/>
        <w:adjustRightInd w:val="0"/>
        <w:spacing w:line="276" w:lineRule="auto"/>
        <w:rPr>
          <w:rFonts w:eastAsia="Calibri"/>
          <w:b/>
          <w:lang w:eastAsia="pt-BR"/>
        </w:rPr>
      </w:pPr>
    </w:p>
    <w:p w:rsidR="006F4E93" w:rsidRPr="006F4E93" w:rsidRDefault="001D02F1" w:rsidP="00714891">
      <w:pPr>
        <w:autoSpaceDE w:val="0"/>
        <w:adjustRightInd w:val="0"/>
        <w:spacing w:line="276" w:lineRule="auto"/>
        <w:rPr>
          <w:rFonts w:eastAsia="Times New Roman"/>
          <w:b/>
          <w:caps/>
          <w:spacing w:val="4"/>
        </w:rPr>
      </w:pPr>
      <w:bookmarkStart w:id="2" w:name="_Hlk29369384"/>
      <w:r w:rsidRPr="001D02F1">
        <w:rPr>
          <w:rStyle w:val="fontstyle0"/>
          <w:rFonts w:cs="Times New Roman"/>
          <w:b/>
          <w:color w:val="000000"/>
          <w:shd w:val="clear" w:color="auto" w:fill="FFFFFF"/>
        </w:rPr>
        <w:t>CLAUDIA ELISABETH NERLING</w:t>
      </w:r>
      <w:r w:rsidR="006F4E93" w:rsidRPr="006F4E93">
        <w:rPr>
          <w:rFonts w:eastAsia="Times New Roman"/>
          <w:b/>
          <w:caps/>
          <w:spacing w:val="4"/>
        </w:rPr>
        <w:t xml:space="preserve">                  </w:t>
      </w:r>
      <w:r>
        <w:rPr>
          <w:rFonts w:eastAsia="Times New Roman"/>
          <w:b/>
          <w:caps/>
          <w:spacing w:val="4"/>
        </w:rPr>
        <w:t xml:space="preserve">   </w:t>
      </w:r>
      <w:r w:rsidR="006F4E93" w:rsidRPr="006F4E93">
        <w:rPr>
          <w:rFonts w:eastAsia="Times New Roman"/>
          <w:b/>
          <w:caps/>
          <w:spacing w:val="4"/>
        </w:rPr>
        <w:t>_____________________________</w:t>
      </w:r>
    </w:p>
    <w:p w:rsidR="006F4E93" w:rsidRPr="006F4E93" w:rsidRDefault="001D02F1" w:rsidP="00714891">
      <w:pPr>
        <w:tabs>
          <w:tab w:val="left" w:pos="4651"/>
        </w:tabs>
        <w:spacing w:line="276" w:lineRule="auto"/>
        <w:rPr>
          <w:rFonts w:eastAsia="Times New Roman"/>
          <w:lang w:eastAsia="pt-BR"/>
        </w:rPr>
      </w:pPr>
      <w:r>
        <w:rPr>
          <w:rFonts w:eastAsia="Times New Roman"/>
          <w:lang w:eastAsia="pt-BR"/>
        </w:rPr>
        <w:t>Coordenador Adjunto</w:t>
      </w:r>
      <w:r w:rsidR="006F4E93" w:rsidRPr="006F4E93">
        <w:rPr>
          <w:rFonts w:eastAsia="Times New Roman"/>
          <w:lang w:eastAsia="pt-BR"/>
        </w:rPr>
        <w:t xml:space="preserve"> CED</w:t>
      </w:r>
      <w:r w:rsidR="006F4E93" w:rsidRPr="006F4E93">
        <w:rPr>
          <w:rFonts w:eastAsia="Calibri"/>
          <w:spacing w:val="-6"/>
          <w:lang w:eastAsia="pt-BR"/>
        </w:rPr>
        <w:tab/>
      </w:r>
    </w:p>
    <w:bookmarkEnd w:id="2"/>
    <w:p w:rsidR="00A27F6A" w:rsidRDefault="00A27F6A" w:rsidP="00D5686D">
      <w:pPr>
        <w:tabs>
          <w:tab w:val="left" w:pos="4651"/>
        </w:tabs>
        <w:spacing w:line="276" w:lineRule="auto"/>
        <w:rPr>
          <w:rFonts w:eastAsia="Times New Roman"/>
          <w:lang w:eastAsia="pt-BR"/>
        </w:rPr>
      </w:pPr>
    </w:p>
    <w:p w:rsidR="00342A44" w:rsidRPr="006F4E93" w:rsidRDefault="001D02F1" w:rsidP="00342A44">
      <w:pPr>
        <w:autoSpaceDE w:val="0"/>
        <w:adjustRightInd w:val="0"/>
        <w:spacing w:line="276" w:lineRule="auto"/>
        <w:rPr>
          <w:rFonts w:eastAsia="Times New Roman"/>
          <w:b/>
          <w:caps/>
          <w:spacing w:val="4"/>
        </w:rPr>
      </w:pPr>
      <w:r w:rsidRPr="001D02F1">
        <w:rPr>
          <w:rStyle w:val="fontstyle0"/>
          <w:rFonts w:cs="Times New Roman"/>
          <w:b/>
          <w:color w:val="000000"/>
          <w:shd w:val="clear" w:color="auto" w:fill="FFFFFF"/>
        </w:rPr>
        <w:t>PEDRO PAULO BARBOSA CORDEIRO</w:t>
      </w:r>
      <w:r w:rsidR="00342A44">
        <w:rPr>
          <w:rFonts w:eastAsia="Times New Roman"/>
          <w:b/>
          <w:caps/>
          <w:spacing w:val="4"/>
        </w:rPr>
        <w:t xml:space="preserve">     </w:t>
      </w:r>
      <w:r w:rsidR="00342A44" w:rsidRPr="006F4E93">
        <w:rPr>
          <w:rFonts w:eastAsia="Times New Roman"/>
          <w:b/>
          <w:caps/>
          <w:spacing w:val="4"/>
        </w:rPr>
        <w:t xml:space="preserve">       _____________________________</w:t>
      </w:r>
    </w:p>
    <w:p w:rsidR="00342A44" w:rsidRPr="00D5686D" w:rsidRDefault="00342A44" w:rsidP="00D5686D">
      <w:pPr>
        <w:tabs>
          <w:tab w:val="left" w:pos="4651"/>
        </w:tabs>
        <w:spacing w:line="276" w:lineRule="auto"/>
        <w:rPr>
          <w:rFonts w:eastAsia="Times New Roman"/>
          <w:lang w:eastAsia="pt-BR"/>
        </w:rPr>
      </w:pPr>
      <w:r>
        <w:rPr>
          <w:rFonts w:eastAsia="Times New Roman"/>
          <w:lang w:eastAsia="pt-BR"/>
        </w:rPr>
        <w:t>Membro</w:t>
      </w:r>
      <w:r w:rsidRPr="006F4E93">
        <w:rPr>
          <w:rFonts w:eastAsia="Times New Roman"/>
          <w:lang w:eastAsia="pt-BR"/>
        </w:rPr>
        <w:t xml:space="preserve"> CED</w:t>
      </w:r>
      <w:r w:rsidRPr="006F4E93">
        <w:rPr>
          <w:rFonts w:eastAsia="Calibri"/>
          <w:spacing w:val="-6"/>
          <w:lang w:eastAsia="pt-BR"/>
        </w:rPr>
        <w:tab/>
      </w:r>
    </w:p>
    <w:sectPr w:rsidR="00342A44" w:rsidRPr="00D5686D" w:rsidSect="00462C55">
      <w:headerReference w:type="even" r:id="rId12"/>
      <w:headerReference w:type="default" r:id="rId13"/>
      <w:footerReference w:type="even" r:id="rId14"/>
      <w:footerReference w:type="default" r:id="rId15"/>
      <w:pgSz w:w="11906" w:h="16838"/>
      <w:pgMar w:top="1955" w:right="1127" w:bottom="1702" w:left="1560" w:header="708" w:footer="75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B37" w:rsidRDefault="00557B37">
      <w:r>
        <w:separator/>
      </w:r>
    </w:p>
  </w:endnote>
  <w:endnote w:type="continuationSeparator" w:id="0">
    <w:p w:rsidR="00557B37" w:rsidRDefault="00557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, 'Times New Roman'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D84" w:rsidRDefault="002F3D84" w:rsidP="006D1CDE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16"/>
      </w:rPr>
    </w:pPr>
    <w:r>
      <w:rPr>
        <w:rFonts w:ascii="Arial" w:hAnsi="Arial" w:cs="Arial"/>
        <w:color w:val="003333"/>
        <w:sz w:val="16"/>
      </w:rPr>
      <w:t>Av. Mário Ypiranga n° 696 - Adrianópolis| CEP: 69057-001 Manaus/AM | Telefone: (92) 3302-2959</w:t>
    </w:r>
  </w:p>
  <w:p w:rsidR="002F3D84" w:rsidRDefault="002F3D84" w:rsidP="006D1CDE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20"/>
        <w:szCs w:val="20"/>
      </w:rPr>
    </w:pPr>
    <w:r>
      <w:rPr>
        <w:rFonts w:ascii="Arial" w:hAnsi="Arial" w:cs="Arial"/>
        <w:b/>
        <w:color w:val="003333"/>
        <w:sz w:val="20"/>
        <w:szCs w:val="20"/>
      </w:rPr>
      <w:t>www.cauam.gov.br</w:t>
    </w:r>
    <w:r>
      <w:rPr>
        <w:rFonts w:ascii="Arial" w:hAnsi="Arial" w:cs="Arial"/>
        <w:color w:val="003333"/>
        <w:sz w:val="20"/>
        <w:szCs w:val="20"/>
      </w:rPr>
      <w:t>/  atendimento@cauam.gov.br</w:t>
    </w:r>
  </w:p>
  <w:p w:rsidR="002F3D84" w:rsidRPr="006D1CDE" w:rsidRDefault="002F3D84" w:rsidP="006D1CDE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D84" w:rsidRDefault="002F3D84" w:rsidP="004A035A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16"/>
      </w:rPr>
    </w:pPr>
    <w:r>
      <w:rPr>
        <w:rFonts w:ascii="Arial" w:hAnsi="Arial" w:cs="Arial"/>
        <w:color w:val="003333"/>
        <w:sz w:val="16"/>
      </w:rPr>
      <w:t>Av. Mário Ypiranga n° 696 - Adrianópolis| CEP: 69057-001 Manaus/AM | Telefone: (92) 3302-2959</w:t>
    </w:r>
  </w:p>
  <w:p w:rsidR="002F3D84" w:rsidRDefault="002F3D84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20"/>
        <w:szCs w:val="20"/>
      </w:rPr>
    </w:pPr>
    <w:r>
      <w:rPr>
        <w:rFonts w:ascii="Arial" w:hAnsi="Arial" w:cs="Arial"/>
        <w:b/>
        <w:color w:val="003333"/>
        <w:sz w:val="20"/>
        <w:szCs w:val="20"/>
      </w:rPr>
      <w:t>www.cauam.gov.br</w:t>
    </w:r>
    <w:r>
      <w:rPr>
        <w:rFonts w:ascii="Arial" w:hAnsi="Arial" w:cs="Arial"/>
        <w:color w:val="003333"/>
        <w:sz w:val="20"/>
        <w:szCs w:val="20"/>
      </w:rPr>
      <w:t>/  atendimento@cauam.gov.br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B37" w:rsidRDefault="00557B37">
      <w:r>
        <w:rPr>
          <w:color w:val="000000"/>
        </w:rPr>
        <w:separator/>
      </w:r>
    </w:p>
  </w:footnote>
  <w:footnote w:type="continuationSeparator" w:id="0">
    <w:p w:rsidR="00557B37" w:rsidRDefault="00557B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D84" w:rsidRDefault="002F3D84">
    <w:pPr>
      <w:pStyle w:val="WW-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-1018634</wp:posOffset>
          </wp:positionH>
          <wp:positionV relativeFrom="margin">
            <wp:posOffset>-1277771</wp:posOffset>
          </wp:positionV>
          <wp:extent cx="7558559" cy="9570240"/>
          <wp:effectExtent l="0" t="0" r="4445" b="0"/>
          <wp:wrapNone/>
          <wp:docPr id="17" name="figuras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b="5273"/>
                  <a:stretch>
                    <a:fillRect/>
                  </a:stretch>
                </pic:blipFill>
                <pic:spPr>
                  <a:xfrm>
                    <a:off x="0" y="0"/>
                    <a:ext cx="7558559" cy="95702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D84" w:rsidRDefault="002F3D84">
    <w:pPr>
      <w:pStyle w:val="WW-Cabealho"/>
      <w:rPr>
        <w:lang w:val="en-US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-990719</wp:posOffset>
          </wp:positionH>
          <wp:positionV relativeFrom="margin">
            <wp:posOffset>-1473839</wp:posOffset>
          </wp:positionV>
          <wp:extent cx="7558559" cy="10099800"/>
          <wp:effectExtent l="0" t="0" r="4291" b="0"/>
          <wp:wrapNone/>
          <wp:docPr id="18" name="figuras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b="5273"/>
                  <a:stretch>
                    <a:fillRect/>
                  </a:stretch>
                </pic:blipFill>
                <pic:spPr>
                  <a:xfrm>
                    <a:off x="0" y="0"/>
                    <a:ext cx="7558559" cy="100998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E1D5E"/>
    <w:multiLevelType w:val="hybridMultilevel"/>
    <w:tmpl w:val="9294DE7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F466C"/>
    <w:multiLevelType w:val="hybridMultilevel"/>
    <w:tmpl w:val="4F56F790"/>
    <w:lvl w:ilvl="0" w:tplc="6DE6A102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FE2E3E"/>
    <w:multiLevelType w:val="hybridMultilevel"/>
    <w:tmpl w:val="E57084BE"/>
    <w:lvl w:ilvl="0" w:tplc="0512BE6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A570A68"/>
    <w:multiLevelType w:val="hybridMultilevel"/>
    <w:tmpl w:val="17F0CB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5255D"/>
    <w:multiLevelType w:val="hybridMultilevel"/>
    <w:tmpl w:val="EA0C4B18"/>
    <w:lvl w:ilvl="0" w:tplc="6DAAAE5E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2923B9"/>
    <w:multiLevelType w:val="multilevel"/>
    <w:tmpl w:val="556EEF0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38F8495F"/>
    <w:multiLevelType w:val="multilevel"/>
    <w:tmpl w:val="E586E6CC"/>
    <w:styleLink w:val="WWNum3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>
    <w:nsid w:val="3DC14C26"/>
    <w:multiLevelType w:val="hybridMultilevel"/>
    <w:tmpl w:val="C2DE59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6D3B16"/>
    <w:multiLevelType w:val="hybridMultilevel"/>
    <w:tmpl w:val="68DE86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376A68"/>
    <w:multiLevelType w:val="hybridMultilevel"/>
    <w:tmpl w:val="617AF8FE"/>
    <w:lvl w:ilvl="0" w:tplc="9EB2BA7A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DF2779B"/>
    <w:multiLevelType w:val="hybridMultilevel"/>
    <w:tmpl w:val="D054A70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183DD8"/>
    <w:multiLevelType w:val="hybridMultilevel"/>
    <w:tmpl w:val="F02EC1A6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0A42CD4"/>
    <w:multiLevelType w:val="hybridMultilevel"/>
    <w:tmpl w:val="275A1BB0"/>
    <w:lvl w:ilvl="0" w:tplc="03645DD4">
      <w:start w:val="1"/>
      <w:numFmt w:val="upperRoman"/>
      <w:lvlText w:val="%1)"/>
      <w:lvlJc w:val="left"/>
      <w:pPr>
        <w:ind w:left="136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649A4014"/>
    <w:multiLevelType w:val="multilevel"/>
    <w:tmpl w:val="E98E8526"/>
    <w:styleLink w:val="WWNum2"/>
    <w:lvl w:ilvl="0">
      <w:start w:val="1"/>
      <w:numFmt w:val="decimal"/>
      <w:lvlText w:val="%1)"/>
      <w:lvlJc w:val="left"/>
      <w:rPr>
        <w:rFonts w:cs="Calibri"/>
        <w:b/>
        <w:color w:val="00000A"/>
        <w:sz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4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5"/>
  </w:num>
  <w:num w:numId="4">
    <w:abstractNumId w:val="10"/>
  </w:num>
  <w:num w:numId="5">
    <w:abstractNumId w:val="2"/>
  </w:num>
  <w:num w:numId="6">
    <w:abstractNumId w:val="3"/>
  </w:num>
  <w:num w:numId="7">
    <w:abstractNumId w:val="8"/>
  </w:num>
  <w:num w:numId="8">
    <w:abstractNumId w:val="12"/>
  </w:num>
  <w:num w:numId="9">
    <w:abstractNumId w:val="9"/>
  </w:num>
  <w:num w:numId="10">
    <w:abstractNumId w:val="1"/>
  </w:num>
  <w:num w:numId="11">
    <w:abstractNumId w:val="0"/>
  </w:num>
  <w:num w:numId="12">
    <w:abstractNumId w:val="4"/>
  </w:num>
  <w:num w:numId="13">
    <w:abstractNumId w:val="7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711"/>
    <w:rsid w:val="0001242B"/>
    <w:rsid w:val="00013E50"/>
    <w:rsid w:val="0001600C"/>
    <w:rsid w:val="000210B0"/>
    <w:rsid w:val="00027E8C"/>
    <w:rsid w:val="00074B03"/>
    <w:rsid w:val="0008422D"/>
    <w:rsid w:val="000B64B5"/>
    <w:rsid w:val="000C6098"/>
    <w:rsid w:val="000C7CD4"/>
    <w:rsid w:val="000D0E47"/>
    <w:rsid w:val="000E65A0"/>
    <w:rsid w:val="000F7A32"/>
    <w:rsid w:val="00133330"/>
    <w:rsid w:val="00180766"/>
    <w:rsid w:val="00183BC5"/>
    <w:rsid w:val="001B0211"/>
    <w:rsid w:val="001B2D83"/>
    <w:rsid w:val="001C3F8C"/>
    <w:rsid w:val="001D02F1"/>
    <w:rsid w:val="001D3C46"/>
    <w:rsid w:val="00204D81"/>
    <w:rsid w:val="00214AA4"/>
    <w:rsid w:val="0021517C"/>
    <w:rsid w:val="0022344F"/>
    <w:rsid w:val="00260235"/>
    <w:rsid w:val="002643F0"/>
    <w:rsid w:val="002841C7"/>
    <w:rsid w:val="002B1069"/>
    <w:rsid w:val="002F2A29"/>
    <w:rsid w:val="002F3D84"/>
    <w:rsid w:val="002F7F11"/>
    <w:rsid w:val="0031155A"/>
    <w:rsid w:val="003232F2"/>
    <w:rsid w:val="00330FCD"/>
    <w:rsid w:val="003347F5"/>
    <w:rsid w:val="00342A44"/>
    <w:rsid w:val="0036035A"/>
    <w:rsid w:val="00393D0D"/>
    <w:rsid w:val="003B1AC1"/>
    <w:rsid w:val="003C7892"/>
    <w:rsid w:val="003F6D7B"/>
    <w:rsid w:val="004247FF"/>
    <w:rsid w:val="004411E4"/>
    <w:rsid w:val="004530DD"/>
    <w:rsid w:val="004621C7"/>
    <w:rsid w:val="00462C55"/>
    <w:rsid w:val="004661F0"/>
    <w:rsid w:val="0047432C"/>
    <w:rsid w:val="00477E18"/>
    <w:rsid w:val="004A035A"/>
    <w:rsid w:val="004B617F"/>
    <w:rsid w:val="004C1CD8"/>
    <w:rsid w:val="00525921"/>
    <w:rsid w:val="00530FC4"/>
    <w:rsid w:val="005409D8"/>
    <w:rsid w:val="00552083"/>
    <w:rsid w:val="00557B37"/>
    <w:rsid w:val="00565F0E"/>
    <w:rsid w:val="00590BBB"/>
    <w:rsid w:val="005B2620"/>
    <w:rsid w:val="005F1FE7"/>
    <w:rsid w:val="00637BE8"/>
    <w:rsid w:val="00650DDD"/>
    <w:rsid w:val="006677E4"/>
    <w:rsid w:val="00676FD3"/>
    <w:rsid w:val="0068258D"/>
    <w:rsid w:val="006C5E21"/>
    <w:rsid w:val="006D1CDE"/>
    <w:rsid w:val="006D41D3"/>
    <w:rsid w:val="006D668C"/>
    <w:rsid w:val="006E3FB5"/>
    <w:rsid w:val="006F4E93"/>
    <w:rsid w:val="00714606"/>
    <w:rsid w:val="00714891"/>
    <w:rsid w:val="00723750"/>
    <w:rsid w:val="00731CB7"/>
    <w:rsid w:val="00732E77"/>
    <w:rsid w:val="00745F50"/>
    <w:rsid w:val="007502D4"/>
    <w:rsid w:val="007629BC"/>
    <w:rsid w:val="0076485E"/>
    <w:rsid w:val="0077040F"/>
    <w:rsid w:val="007920E7"/>
    <w:rsid w:val="007E11C2"/>
    <w:rsid w:val="007F142A"/>
    <w:rsid w:val="00803055"/>
    <w:rsid w:val="00807B22"/>
    <w:rsid w:val="00835C90"/>
    <w:rsid w:val="00840AE3"/>
    <w:rsid w:val="00844C7F"/>
    <w:rsid w:val="0085089E"/>
    <w:rsid w:val="00865A0D"/>
    <w:rsid w:val="00894A37"/>
    <w:rsid w:val="00894A4F"/>
    <w:rsid w:val="008B356F"/>
    <w:rsid w:val="008C157E"/>
    <w:rsid w:val="008C2502"/>
    <w:rsid w:val="008E2E93"/>
    <w:rsid w:val="008F6D2E"/>
    <w:rsid w:val="00901EB6"/>
    <w:rsid w:val="0090402E"/>
    <w:rsid w:val="00920445"/>
    <w:rsid w:val="00924DE1"/>
    <w:rsid w:val="00925FBF"/>
    <w:rsid w:val="00942433"/>
    <w:rsid w:val="0094331A"/>
    <w:rsid w:val="00944EB7"/>
    <w:rsid w:val="009545F8"/>
    <w:rsid w:val="009553E5"/>
    <w:rsid w:val="0095641B"/>
    <w:rsid w:val="00960C9F"/>
    <w:rsid w:val="00967311"/>
    <w:rsid w:val="0097240D"/>
    <w:rsid w:val="00992380"/>
    <w:rsid w:val="009A0B34"/>
    <w:rsid w:val="009B0069"/>
    <w:rsid w:val="009C2513"/>
    <w:rsid w:val="009F4974"/>
    <w:rsid w:val="009F4A10"/>
    <w:rsid w:val="009F7317"/>
    <w:rsid w:val="009F76FE"/>
    <w:rsid w:val="00A27F6A"/>
    <w:rsid w:val="00A603CA"/>
    <w:rsid w:val="00A745DA"/>
    <w:rsid w:val="00A802E2"/>
    <w:rsid w:val="00A81C6E"/>
    <w:rsid w:val="00A85B29"/>
    <w:rsid w:val="00A947EA"/>
    <w:rsid w:val="00AC3AF7"/>
    <w:rsid w:val="00AD5484"/>
    <w:rsid w:val="00AF147E"/>
    <w:rsid w:val="00AF3BB4"/>
    <w:rsid w:val="00B06CDE"/>
    <w:rsid w:val="00B24711"/>
    <w:rsid w:val="00B30E99"/>
    <w:rsid w:val="00B3584D"/>
    <w:rsid w:val="00B65854"/>
    <w:rsid w:val="00B968AB"/>
    <w:rsid w:val="00BA2EF7"/>
    <w:rsid w:val="00BB0F3F"/>
    <w:rsid w:val="00BB6D5B"/>
    <w:rsid w:val="00BE0120"/>
    <w:rsid w:val="00BF1293"/>
    <w:rsid w:val="00BF285E"/>
    <w:rsid w:val="00BF3B5F"/>
    <w:rsid w:val="00C1276D"/>
    <w:rsid w:val="00C27767"/>
    <w:rsid w:val="00C5165F"/>
    <w:rsid w:val="00C5225C"/>
    <w:rsid w:val="00CA0985"/>
    <w:rsid w:val="00CA408E"/>
    <w:rsid w:val="00CB3A0E"/>
    <w:rsid w:val="00CF05AB"/>
    <w:rsid w:val="00D02D17"/>
    <w:rsid w:val="00D31B71"/>
    <w:rsid w:val="00D33A40"/>
    <w:rsid w:val="00D41F07"/>
    <w:rsid w:val="00D53C7B"/>
    <w:rsid w:val="00D5686D"/>
    <w:rsid w:val="00DD1FCD"/>
    <w:rsid w:val="00DE5113"/>
    <w:rsid w:val="00DF67B4"/>
    <w:rsid w:val="00E177C5"/>
    <w:rsid w:val="00E229A8"/>
    <w:rsid w:val="00E31055"/>
    <w:rsid w:val="00E31146"/>
    <w:rsid w:val="00E36D74"/>
    <w:rsid w:val="00E41CF4"/>
    <w:rsid w:val="00E703E7"/>
    <w:rsid w:val="00E70D91"/>
    <w:rsid w:val="00E80751"/>
    <w:rsid w:val="00EA1BD0"/>
    <w:rsid w:val="00EC20F6"/>
    <w:rsid w:val="00EE49A6"/>
    <w:rsid w:val="00EF627D"/>
    <w:rsid w:val="00F00886"/>
    <w:rsid w:val="00F079D6"/>
    <w:rsid w:val="00F07F8E"/>
    <w:rsid w:val="00F22FD9"/>
    <w:rsid w:val="00F3478B"/>
    <w:rsid w:val="00F438E1"/>
    <w:rsid w:val="00F641AB"/>
    <w:rsid w:val="00F91F15"/>
    <w:rsid w:val="00FA187C"/>
    <w:rsid w:val="00FE4970"/>
    <w:rsid w:val="00FF21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C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Pr>
      <w:rFonts w:ascii="Cambria" w:eastAsia="Cambria" w:hAnsi="Cambria" w:cs="Cambria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Cabealho">
    <w:name w:val="header"/>
    <w:basedOn w:val="Standard"/>
    <w:next w:val="Textbody"/>
    <w:uiPriority w:val="99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ndiceremissivo">
    <w:name w:val="Índice remissivo"/>
    <w:basedOn w:val="Standard"/>
    <w:pPr>
      <w:suppressLineNumbers/>
    </w:pPr>
    <w:rPr>
      <w:rFonts w:cs="Mangal"/>
    </w:rPr>
  </w:style>
  <w:style w:type="paragraph" w:customStyle="1" w:styleId="WW-Cabealho">
    <w:name w:val="WW-Cabeçalho"/>
    <w:basedOn w:val="Standard"/>
  </w:style>
  <w:style w:type="paragraph" w:styleId="Rodap">
    <w:name w:val="footer"/>
    <w:basedOn w:val="Standard"/>
  </w:style>
  <w:style w:type="paragraph" w:styleId="NormalWeb">
    <w:name w:val="Normal (Web)"/>
    <w:basedOn w:val="Standard"/>
    <w:rPr>
      <w:rFonts w:ascii="Times, 'Times New Roman'" w:hAnsi="Times, 'Times New Roman'" w:cs="Times New Roman"/>
      <w:sz w:val="20"/>
      <w:szCs w:val="20"/>
    </w:rPr>
  </w:style>
  <w:style w:type="paragraph" w:customStyle="1" w:styleId="p23">
    <w:name w:val="p23"/>
    <w:basedOn w:val="Standard"/>
    <w:pPr>
      <w:tabs>
        <w:tab w:val="left" w:pos="1380"/>
      </w:tabs>
      <w:spacing w:line="240" w:lineRule="atLeast"/>
      <w:ind w:left="720" w:hanging="720"/>
    </w:pPr>
    <w:rPr>
      <w:rFonts w:ascii="Times New Roman" w:eastAsia="Times New Roman" w:hAnsi="Times New Roman" w:cs="Times New Roman"/>
      <w:szCs w:val="20"/>
    </w:rPr>
  </w:style>
  <w:style w:type="paragraph" w:customStyle="1" w:styleId="western">
    <w:name w:val="western"/>
    <w:basedOn w:val="Standard"/>
    <w:pPr>
      <w:spacing w:before="280" w:after="119"/>
    </w:pPr>
    <w:rPr>
      <w:rFonts w:eastAsia="Times New Roman"/>
      <w:color w:val="000000"/>
    </w:rPr>
  </w:style>
  <w:style w:type="paragraph" w:styleId="PargrafodaLista">
    <w:name w:val="List Paragraph"/>
    <w:basedOn w:val="Standard"/>
    <w:pPr>
      <w:spacing w:after="200"/>
      <w:ind w:left="720"/>
    </w:pPr>
  </w:style>
  <w:style w:type="character" w:customStyle="1" w:styleId="Absatz-Standardschriftart">
    <w:name w:val="Absatz-Standardschriftart"/>
  </w:style>
  <w:style w:type="character" w:customStyle="1" w:styleId="CabealhoChar">
    <w:name w:val="Cabeçalho Char"/>
    <w:basedOn w:val="Fontepargpadro"/>
    <w:uiPriority w:val="99"/>
  </w:style>
  <w:style w:type="character" w:customStyle="1" w:styleId="RodapChar">
    <w:name w:val="Rodapé Char"/>
    <w:basedOn w:val="Fontepargpadro"/>
  </w:style>
  <w:style w:type="character" w:customStyle="1" w:styleId="StrongEmphasis">
    <w:name w:val="Strong Emphasis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1">
    <w:name w:val="st1"/>
  </w:style>
  <w:style w:type="character" w:customStyle="1" w:styleId="ListLabel1">
    <w:name w:val="ListLabel 1"/>
    <w:rPr>
      <w:rFonts w:cs="Calibri"/>
      <w:b/>
      <w:color w:val="00000A"/>
      <w:sz w:val="22"/>
    </w:rPr>
  </w:style>
  <w:style w:type="numbering" w:customStyle="1" w:styleId="WWNum3">
    <w:name w:val="WWNum3"/>
    <w:basedOn w:val="Semlista"/>
    <w:pPr>
      <w:numPr>
        <w:numId w:val="1"/>
      </w:numPr>
    </w:pPr>
  </w:style>
  <w:style w:type="numbering" w:customStyle="1" w:styleId="WWNum2">
    <w:name w:val="WWNum2"/>
    <w:basedOn w:val="Semlista"/>
    <w:pPr>
      <w:numPr>
        <w:numId w:val="2"/>
      </w:numPr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C7892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7892"/>
    <w:rPr>
      <w:rFonts w:ascii="Tahoma" w:hAnsi="Tahoma"/>
      <w:sz w:val="16"/>
      <w:szCs w:val="14"/>
    </w:rPr>
  </w:style>
  <w:style w:type="character" w:styleId="Forte">
    <w:name w:val="Strong"/>
    <w:basedOn w:val="Fontepargpadro"/>
    <w:uiPriority w:val="22"/>
    <w:qFormat/>
    <w:rsid w:val="00676FD3"/>
    <w:rPr>
      <w:b/>
      <w:bCs/>
    </w:rPr>
  </w:style>
  <w:style w:type="table" w:styleId="Tabelacomgrade">
    <w:name w:val="Table Grid"/>
    <w:basedOn w:val="Tabelanormal"/>
    <w:uiPriority w:val="59"/>
    <w:rsid w:val="008C25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F7A32"/>
    <w:pPr>
      <w:widowControl/>
      <w:suppressAutoHyphens w:val="0"/>
      <w:autoSpaceDE w:val="0"/>
      <w:adjustRightInd w:val="0"/>
      <w:textAlignment w:val="auto"/>
    </w:pPr>
    <w:rPr>
      <w:rFonts w:cs="Times New Roman"/>
      <w:color w:val="000000"/>
      <w:kern w:val="0"/>
      <w:lang w:bidi="ar-SA"/>
    </w:rPr>
  </w:style>
  <w:style w:type="character" w:customStyle="1" w:styleId="fontstyle0">
    <w:name w:val="fontstyle0"/>
    <w:basedOn w:val="Fontepargpadro"/>
    <w:rsid w:val="00E703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C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Pr>
      <w:rFonts w:ascii="Cambria" w:eastAsia="Cambria" w:hAnsi="Cambria" w:cs="Cambria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Cabealho">
    <w:name w:val="header"/>
    <w:basedOn w:val="Standard"/>
    <w:next w:val="Textbody"/>
    <w:uiPriority w:val="99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ndiceremissivo">
    <w:name w:val="Índice remissivo"/>
    <w:basedOn w:val="Standard"/>
    <w:pPr>
      <w:suppressLineNumbers/>
    </w:pPr>
    <w:rPr>
      <w:rFonts w:cs="Mangal"/>
    </w:rPr>
  </w:style>
  <w:style w:type="paragraph" w:customStyle="1" w:styleId="WW-Cabealho">
    <w:name w:val="WW-Cabeçalho"/>
    <w:basedOn w:val="Standard"/>
  </w:style>
  <w:style w:type="paragraph" w:styleId="Rodap">
    <w:name w:val="footer"/>
    <w:basedOn w:val="Standard"/>
  </w:style>
  <w:style w:type="paragraph" w:styleId="NormalWeb">
    <w:name w:val="Normal (Web)"/>
    <w:basedOn w:val="Standard"/>
    <w:rPr>
      <w:rFonts w:ascii="Times, 'Times New Roman'" w:hAnsi="Times, 'Times New Roman'" w:cs="Times New Roman"/>
      <w:sz w:val="20"/>
      <w:szCs w:val="20"/>
    </w:rPr>
  </w:style>
  <w:style w:type="paragraph" w:customStyle="1" w:styleId="p23">
    <w:name w:val="p23"/>
    <w:basedOn w:val="Standard"/>
    <w:pPr>
      <w:tabs>
        <w:tab w:val="left" w:pos="1380"/>
      </w:tabs>
      <w:spacing w:line="240" w:lineRule="atLeast"/>
      <w:ind w:left="720" w:hanging="720"/>
    </w:pPr>
    <w:rPr>
      <w:rFonts w:ascii="Times New Roman" w:eastAsia="Times New Roman" w:hAnsi="Times New Roman" w:cs="Times New Roman"/>
      <w:szCs w:val="20"/>
    </w:rPr>
  </w:style>
  <w:style w:type="paragraph" w:customStyle="1" w:styleId="western">
    <w:name w:val="western"/>
    <w:basedOn w:val="Standard"/>
    <w:pPr>
      <w:spacing w:before="280" w:after="119"/>
    </w:pPr>
    <w:rPr>
      <w:rFonts w:eastAsia="Times New Roman"/>
      <w:color w:val="000000"/>
    </w:rPr>
  </w:style>
  <w:style w:type="paragraph" w:styleId="PargrafodaLista">
    <w:name w:val="List Paragraph"/>
    <w:basedOn w:val="Standard"/>
    <w:pPr>
      <w:spacing w:after="200"/>
      <w:ind w:left="720"/>
    </w:pPr>
  </w:style>
  <w:style w:type="character" w:customStyle="1" w:styleId="Absatz-Standardschriftart">
    <w:name w:val="Absatz-Standardschriftart"/>
  </w:style>
  <w:style w:type="character" w:customStyle="1" w:styleId="CabealhoChar">
    <w:name w:val="Cabeçalho Char"/>
    <w:basedOn w:val="Fontepargpadro"/>
    <w:uiPriority w:val="99"/>
  </w:style>
  <w:style w:type="character" w:customStyle="1" w:styleId="RodapChar">
    <w:name w:val="Rodapé Char"/>
    <w:basedOn w:val="Fontepargpadro"/>
  </w:style>
  <w:style w:type="character" w:customStyle="1" w:styleId="StrongEmphasis">
    <w:name w:val="Strong Emphasis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1">
    <w:name w:val="st1"/>
  </w:style>
  <w:style w:type="character" w:customStyle="1" w:styleId="ListLabel1">
    <w:name w:val="ListLabel 1"/>
    <w:rPr>
      <w:rFonts w:cs="Calibri"/>
      <w:b/>
      <w:color w:val="00000A"/>
      <w:sz w:val="22"/>
    </w:rPr>
  </w:style>
  <w:style w:type="numbering" w:customStyle="1" w:styleId="WWNum3">
    <w:name w:val="WWNum3"/>
    <w:basedOn w:val="Semlista"/>
    <w:pPr>
      <w:numPr>
        <w:numId w:val="1"/>
      </w:numPr>
    </w:pPr>
  </w:style>
  <w:style w:type="numbering" w:customStyle="1" w:styleId="WWNum2">
    <w:name w:val="WWNum2"/>
    <w:basedOn w:val="Semlista"/>
    <w:pPr>
      <w:numPr>
        <w:numId w:val="2"/>
      </w:numPr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C7892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7892"/>
    <w:rPr>
      <w:rFonts w:ascii="Tahoma" w:hAnsi="Tahoma"/>
      <w:sz w:val="16"/>
      <w:szCs w:val="14"/>
    </w:rPr>
  </w:style>
  <w:style w:type="character" w:styleId="Forte">
    <w:name w:val="Strong"/>
    <w:basedOn w:val="Fontepargpadro"/>
    <w:uiPriority w:val="22"/>
    <w:qFormat/>
    <w:rsid w:val="00676FD3"/>
    <w:rPr>
      <w:b/>
      <w:bCs/>
    </w:rPr>
  </w:style>
  <w:style w:type="table" w:styleId="Tabelacomgrade">
    <w:name w:val="Table Grid"/>
    <w:basedOn w:val="Tabelanormal"/>
    <w:uiPriority w:val="59"/>
    <w:rsid w:val="008C25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F7A32"/>
    <w:pPr>
      <w:widowControl/>
      <w:suppressAutoHyphens w:val="0"/>
      <w:autoSpaceDE w:val="0"/>
      <w:adjustRightInd w:val="0"/>
      <w:textAlignment w:val="auto"/>
    </w:pPr>
    <w:rPr>
      <w:rFonts w:cs="Times New Roman"/>
      <w:color w:val="000000"/>
      <w:kern w:val="0"/>
      <w:lang w:bidi="ar-SA"/>
    </w:rPr>
  </w:style>
  <w:style w:type="character" w:customStyle="1" w:styleId="fontstyle0">
    <w:name w:val="fontstyle0"/>
    <w:basedOn w:val="Fontepargpadro"/>
    <w:rsid w:val="00E703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5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043042F6C0B874C847EC4967B002C3C" ma:contentTypeVersion="12" ma:contentTypeDescription="Crie um novo documento." ma:contentTypeScope="" ma:versionID="a676002b4da05b5255fe3fb88e8f49a6">
  <xsd:schema xmlns:xsd="http://www.w3.org/2001/XMLSchema" xmlns:xs="http://www.w3.org/2001/XMLSchema" xmlns:p="http://schemas.microsoft.com/office/2006/metadata/properties" xmlns:ns2="ba1d10e0-8e2c-40fc-8295-a9e8e0d1aacf" xmlns:ns3="35de68e9-445f-49b8-bef7-e39da3474bba" targetNamespace="http://schemas.microsoft.com/office/2006/metadata/properties" ma:root="true" ma:fieldsID="41e440e55dc11c0ec356ca81e353eea9" ns2:_="" ns3:_="">
    <xsd:import namespace="ba1d10e0-8e2c-40fc-8295-a9e8e0d1aacf"/>
    <xsd:import namespace="35de68e9-445f-49b8-bef7-e39da3474b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1d10e0-8e2c-40fc-8295-a9e8e0d1aa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de68e9-445f-49b8-bef7-e39da3474bb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77FAF-95CE-44A6-B625-A3E584BE2D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1d10e0-8e2c-40fc-8295-a9e8e0d1aacf"/>
    <ds:schemaRef ds:uri="35de68e9-445f-49b8-bef7-e39da3474b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1C2496-93F3-4162-B2AF-5C1129A8E0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061C6-A2B1-451B-A709-E9771B27F8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9821839-B4FB-45AC-AC67-13BAF9867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325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Ednara Soares</cp:lastModifiedBy>
  <cp:revision>4</cp:revision>
  <cp:lastPrinted>2018-08-10T13:20:00Z</cp:lastPrinted>
  <dcterms:created xsi:type="dcterms:W3CDTF">2021-04-19T15:01:00Z</dcterms:created>
  <dcterms:modified xsi:type="dcterms:W3CDTF">2021-04-19T15:18:00Z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ções 1">
    <vt:lpwstr/>
  </property>
  <property fmtid="{D5CDD505-2E9C-101B-9397-08002B2CF9AE}" pid="3" name="Informações 2">
    <vt:lpwstr/>
  </property>
  <property fmtid="{D5CDD505-2E9C-101B-9397-08002B2CF9AE}" pid="4" name="Informações 3">
    <vt:lpwstr/>
  </property>
  <property fmtid="{D5CDD505-2E9C-101B-9397-08002B2CF9AE}" pid="5" name="Informações 4">
    <vt:lpwstr/>
  </property>
  <property fmtid="{D5CDD505-2E9C-101B-9397-08002B2CF9AE}" pid="6" name="ContentTypeId">
    <vt:lpwstr>0x0101001043042F6C0B874C847EC4967B002C3C</vt:lpwstr>
  </property>
</Properties>
</file>